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063EA">
      <w:pPr>
        <w:widowControl/>
        <w:snapToGrid w:val="0"/>
        <w:spacing w:line="520" w:lineRule="exact"/>
        <w:rPr>
          <w:rFonts w:hint="eastAsia" w:ascii="仿宋_GB2312" w:hAnsi="等线" w:eastAsia="仿宋_GB2312" w:cs="Arial"/>
          <w:color w:val="auto"/>
          <w:sz w:val="32"/>
          <w:szCs w:val="32"/>
          <w:lang w:eastAsia="zh-CN"/>
        </w:rPr>
      </w:pPr>
      <w:r>
        <w:rPr>
          <w:rFonts w:hint="eastAsia" w:ascii="仿宋_GB2312" w:hAnsi="等线" w:eastAsia="仿宋_GB2312" w:cs="Arial"/>
          <w:color w:val="auto"/>
          <w:sz w:val="32"/>
          <w:szCs w:val="32"/>
        </w:rPr>
        <w:t>附件</w:t>
      </w:r>
      <w:r>
        <w:rPr>
          <w:rFonts w:hint="eastAsia" w:ascii="仿宋_GB2312" w:hAnsi="等线" w:eastAsia="仿宋_GB2312" w:cs="Arial"/>
          <w:color w:val="auto"/>
          <w:sz w:val="32"/>
          <w:szCs w:val="32"/>
          <w:lang w:val="en-US" w:eastAsia="zh-CN"/>
        </w:rPr>
        <w:t>1</w:t>
      </w:r>
    </w:p>
    <w:p w14:paraId="7E2C1507">
      <w:pPr>
        <w:widowControl/>
        <w:adjustRightInd w:val="0"/>
        <w:snapToGrid w:val="0"/>
        <w:spacing w:line="520" w:lineRule="exact"/>
        <w:jc w:val="center"/>
        <w:rPr>
          <w:rFonts w:ascii="方正小标宋简体" w:hAnsi="黑体" w:eastAsia="方正小标宋简体" w:cs="宋体"/>
          <w:bCs/>
          <w:color w:val="auto"/>
          <w:kern w:val="0"/>
          <w:sz w:val="36"/>
          <w:szCs w:val="36"/>
        </w:rPr>
      </w:pPr>
    </w:p>
    <w:p w14:paraId="2869AAA2">
      <w:pPr>
        <w:widowControl/>
        <w:adjustRightInd w:val="0"/>
        <w:snapToGrid w:val="0"/>
        <w:spacing w:line="520" w:lineRule="exact"/>
        <w:jc w:val="center"/>
        <w:rPr>
          <w:rFonts w:ascii="方正小标宋_GBK" w:hAnsi="宋体" w:eastAsia="方正小标宋_GBK" w:cs="宋体"/>
          <w:b/>
          <w:bCs/>
          <w:color w:val="auto"/>
          <w:spacing w:val="-20"/>
          <w:kern w:val="0"/>
          <w:sz w:val="44"/>
          <w:szCs w:val="44"/>
        </w:rPr>
      </w:pPr>
      <w:r>
        <w:rPr>
          <w:rFonts w:hint="eastAsia" w:ascii="方正小标宋_GBK" w:hAnsi="宋体" w:eastAsia="方正小标宋_GBK" w:cs="宋体"/>
          <w:b/>
          <w:bCs/>
          <w:color w:val="auto"/>
          <w:spacing w:val="-20"/>
          <w:kern w:val="0"/>
          <w:sz w:val="44"/>
          <w:szCs w:val="44"/>
        </w:rPr>
        <w:t>2026年实验室研究基金项目立项指南</w:t>
      </w:r>
    </w:p>
    <w:p w14:paraId="48CEB81E">
      <w:pPr>
        <w:pStyle w:val="2"/>
        <w:rPr>
          <w:color w:val="auto"/>
        </w:rPr>
      </w:pPr>
    </w:p>
    <w:p w14:paraId="7254DC21">
      <w:pPr>
        <w:pStyle w:val="8"/>
        <w:widowControl/>
        <w:numPr>
          <w:ilvl w:val="0"/>
          <w:numId w:val="1"/>
        </w:numPr>
        <w:adjustRightInd w:val="0"/>
        <w:snapToGrid w:val="0"/>
        <w:spacing w:line="520" w:lineRule="exact"/>
        <w:ind w:firstLineChars="0"/>
        <w:rPr>
          <w:rFonts w:ascii="黑体" w:hAnsi="黑体" w:eastAsia="黑体" w:cs="宋体"/>
          <w:bCs/>
          <w:color w:val="auto"/>
          <w:kern w:val="0"/>
          <w:sz w:val="36"/>
          <w:szCs w:val="32"/>
        </w:rPr>
      </w:pPr>
      <w:r>
        <w:rPr>
          <w:rFonts w:hint="eastAsia" w:ascii="黑体" w:hAnsi="黑体" w:eastAsia="黑体" w:cs="宋体"/>
          <w:bCs/>
          <w:color w:val="auto"/>
          <w:kern w:val="0"/>
          <w:sz w:val="36"/>
          <w:szCs w:val="32"/>
        </w:rPr>
        <w:t>重点</w:t>
      </w:r>
      <w:r>
        <w:rPr>
          <w:rFonts w:ascii="黑体" w:hAnsi="黑体" w:eastAsia="黑体" w:cs="宋体"/>
          <w:bCs/>
          <w:color w:val="auto"/>
          <w:kern w:val="0"/>
          <w:sz w:val="36"/>
          <w:szCs w:val="32"/>
        </w:rPr>
        <w:t>项目</w:t>
      </w:r>
      <w:r>
        <w:rPr>
          <w:rFonts w:hint="eastAsia" w:ascii="黑体" w:hAnsi="黑体" w:eastAsia="黑体" w:cs="宋体"/>
          <w:bCs/>
          <w:color w:val="auto"/>
          <w:kern w:val="0"/>
          <w:sz w:val="36"/>
          <w:szCs w:val="32"/>
        </w:rPr>
        <w:t>选题</w:t>
      </w:r>
    </w:p>
    <w:p w14:paraId="5775DE8F">
      <w:pPr>
        <w:pStyle w:val="8"/>
        <w:spacing w:line="520" w:lineRule="exact"/>
        <w:ind w:firstLine="600"/>
        <w:rPr>
          <w:rFonts w:ascii="仿宋" w:hAnsi="仿宋" w:eastAsia="仿宋" w:cs="仿宋_GB2312"/>
          <w:b/>
          <w:bCs/>
          <w:color w:val="auto"/>
          <w:sz w:val="30"/>
          <w:szCs w:val="30"/>
        </w:rPr>
      </w:pPr>
      <w:r>
        <w:rPr>
          <w:rFonts w:hint="eastAsia" w:ascii="仿宋" w:hAnsi="仿宋" w:eastAsia="仿宋" w:cs="仿宋_GB2312"/>
          <w:color w:val="auto"/>
          <w:sz w:val="30"/>
          <w:szCs w:val="30"/>
        </w:rPr>
        <w:t>分为A、</w:t>
      </w:r>
      <w:r>
        <w:rPr>
          <w:rFonts w:ascii="仿宋" w:hAnsi="仿宋" w:eastAsia="仿宋" w:cs="仿宋_GB2312"/>
          <w:color w:val="auto"/>
          <w:sz w:val="30"/>
          <w:szCs w:val="30"/>
        </w:rPr>
        <w:t>B</w:t>
      </w:r>
      <w:r>
        <w:rPr>
          <w:rFonts w:hint="eastAsia" w:ascii="仿宋" w:hAnsi="仿宋" w:eastAsia="仿宋" w:cs="仿宋_GB2312"/>
          <w:color w:val="auto"/>
          <w:sz w:val="30"/>
          <w:szCs w:val="30"/>
        </w:rPr>
        <w:t>两档，申报人可自由选择以下方向，题目自拟。</w:t>
      </w:r>
    </w:p>
    <w:p w14:paraId="38037D0F">
      <w:pPr>
        <w:ind w:firstLine="602" w:firstLineChars="200"/>
        <w:rPr>
          <w:rFonts w:hint="eastAsia" w:ascii="黑体" w:hAnsi="黑体" w:eastAsia="黑体" w:cs="黑体"/>
          <w:b/>
          <w:bCs/>
          <w:color w:val="auto"/>
          <w:sz w:val="30"/>
          <w:szCs w:val="30"/>
        </w:rPr>
      </w:pPr>
      <w:r>
        <w:rPr>
          <w:rFonts w:hint="eastAsia" w:ascii="黑体" w:hAnsi="黑体" w:eastAsia="黑体" w:cs="黑体"/>
          <w:b/>
          <w:bCs/>
          <w:color w:val="auto"/>
          <w:sz w:val="30"/>
          <w:szCs w:val="30"/>
        </w:rPr>
        <w:t>一、重点A档（资助金额</w:t>
      </w:r>
      <w:r>
        <w:rPr>
          <w:rFonts w:hint="eastAsia" w:ascii="黑体" w:hAnsi="黑体" w:eastAsia="黑体" w:cs="黑体"/>
          <w:b/>
          <w:bCs/>
          <w:color w:val="auto"/>
          <w:sz w:val="30"/>
          <w:szCs w:val="30"/>
          <w:lang w:val="en-US" w:eastAsia="zh-CN"/>
        </w:rPr>
        <w:t>不超过</w:t>
      </w:r>
      <w:r>
        <w:rPr>
          <w:rFonts w:hint="eastAsia" w:ascii="黑体" w:hAnsi="黑体" w:eastAsia="黑体" w:cs="黑体"/>
          <w:b/>
          <w:bCs/>
          <w:color w:val="auto"/>
          <w:sz w:val="30"/>
          <w:szCs w:val="30"/>
        </w:rPr>
        <w:t>5万元）</w:t>
      </w:r>
    </w:p>
    <w:p w14:paraId="38F740F0">
      <w:pPr>
        <w:spacing w:line="520" w:lineRule="exact"/>
        <w:ind w:firstLine="602" w:firstLineChars="200"/>
        <w:rPr>
          <w:rFonts w:hint="eastAsia" w:ascii="楷体" w:hAnsi="楷体" w:eastAsia="楷体" w:cs="楷体"/>
          <w:b/>
          <w:bCs/>
          <w:color w:val="auto"/>
          <w:sz w:val="30"/>
          <w:szCs w:val="30"/>
          <w:highlight w:val="yellow"/>
        </w:rPr>
      </w:pPr>
      <w:bookmarkStart w:id="0" w:name="OLE_LINK4"/>
      <w:bookmarkStart w:id="1" w:name="OLE_LINK3"/>
      <w:r>
        <w:rPr>
          <w:rFonts w:hint="eastAsia" w:ascii="楷体" w:hAnsi="楷体" w:eastAsia="楷体" w:cs="楷体"/>
          <w:b/>
          <w:bCs/>
          <w:color w:val="auto"/>
          <w:sz w:val="30"/>
          <w:szCs w:val="30"/>
        </w:rPr>
        <w:t>1.</w:t>
      </w:r>
      <w:bookmarkStart w:id="2" w:name="OLE_LINK2"/>
      <w:bookmarkStart w:id="3" w:name="OLE_LINK1"/>
      <w:r>
        <w:rPr>
          <w:rFonts w:hint="eastAsia" w:ascii="楷体" w:hAnsi="楷体" w:eastAsia="楷体" w:cs="楷体"/>
          <w:b/>
          <w:bCs/>
          <w:color w:val="auto"/>
          <w:sz w:val="30"/>
          <w:szCs w:val="30"/>
        </w:rPr>
        <w:t>加强大型仪器设备购置论证管理与效能提升机制研究</w:t>
      </w:r>
      <w:bookmarkEnd w:id="2"/>
      <w:bookmarkEnd w:id="3"/>
    </w:p>
    <w:p w14:paraId="0A6C19D7">
      <w:pPr>
        <w:spacing w:after="120"/>
        <w:ind w:firstLine="600" w:firstLineChars="200"/>
        <w:rPr>
          <w:rFonts w:hint="eastAsia" w:ascii="仿宋" w:hAnsi="仿宋" w:eastAsia="仿宋"/>
          <w:color w:val="auto"/>
          <w:sz w:val="30"/>
          <w:szCs w:val="30"/>
          <w:highlight w:val="yellow"/>
        </w:rPr>
      </w:pPr>
      <w:r>
        <w:rPr>
          <w:rFonts w:hint="eastAsia" w:ascii="仿宋" w:hAnsi="仿宋" w:eastAsia="仿宋"/>
          <w:color w:val="auto"/>
          <w:sz w:val="30"/>
          <w:szCs w:val="30"/>
        </w:rPr>
        <w:t>成果要求：围绕提升大型仪器设备购置论证的实际把关效能，优化校级论证的组织模式与评审机制。明确校级论证的组织条件、评审流程与核心把关要点，重点强化存量设备比对、跨院系资源统筹与需求必要性审核，有效避免重复购置与无效投入。建立论证工作全流程闭环管理机制，将上一年度大型仪器开放共享、使用效益考核结果深度融入本年度购置论证评审环节，以历史使用数据反向约束新增设备采购需求。探索多校区办学背景下的集约化购置论证模式，建立全链条闭环管理与控制体系，切实提升资源配置效益，形成可直接实施的学校大型仪器设备购置论证工作方案及研究报告。</w:t>
      </w:r>
    </w:p>
    <w:bookmarkEnd w:id="0"/>
    <w:bookmarkEnd w:id="1"/>
    <w:p w14:paraId="68396718">
      <w:pPr>
        <w:spacing w:line="520" w:lineRule="exact"/>
        <w:ind w:firstLine="602" w:firstLineChars="200"/>
        <w:rPr>
          <w:rFonts w:hint="eastAsia" w:ascii="楷体" w:hAnsi="楷体" w:eastAsia="楷体" w:cs="楷体"/>
          <w:b/>
          <w:bCs/>
          <w:color w:val="auto"/>
          <w:sz w:val="30"/>
          <w:szCs w:val="30"/>
        </w:rPr>
      </w:pPr>
      <w:r>
        <w:rPr>
          <w:rFonts w:hint="eastAsia" w:ascii="楷体" w:hAnsi="楷体" w:eastAsia="楷体" w:cs="楷体"/>
          <w:b/>
          <w:bCs/>
          <w:color w:val="auto"/>
          <w:sz w:val="30"/>
          <w:szCs w:val="30"/>
          <w:lang w:val="en-US" w:eastAsia="zh-CN"/>
        </w:rPr>
        <w:t>2</w:t>
      </w:r>
      <w:r>
        <w:rPr>
          <w:rFonts w:hint="eastAsia" w:ascii="楷体" w:hAnsi="楷体" w:eastAsia="楷体" w:cs="楷体"/>
          <w:b/>
          <w:bCs/>
          <w:color w:val="auto"/>
          <w:sz w:val="30"/>
          <w:szCs w:val="30"/>
        </w:rPr>
        <w:t>.关于大型仪器设备服务科技基础条件自主保障的实施路径研究</w:t>
      </w:r>
    </w:p>
    <w:p w14:paraId="6473E813">
      <w:pPr>
        <w:spacing w:line="360" w:lineRule="auto"/>
        <w:ind w:firstLine="600" w:firstLineChars="200"/>
        <w:rPr>
          <w:rFonts w:hint="default" w:ascii="楷体" w:hAnsi="楷体" w:eastAsia="楷体" w:cs="楷体"/>
          <w:b/>
          <w:bCs/>
          <w:color w:val="auto"/>
          <w:sz w:val="30"/>
          <w:szCs w:val="30"/>
          <w:lang w:val="en-US" w:eastAsia="zh-CN"/>
        </w:rPr>
      </w:pPr>
      <w:r>
        <w:rPr>
          <w:rFonts w:hint="eastAsia" w:ascii="仿宋" w:hAnsi="仿宋" w:eastAsia="仿宋"/>
          <w:color w:val="auto"/>
          <w:sz w:val="30"/>
          <w:szCs w:val="30"/>
        </w:rPr>
        <w:t>成果要求：根据</w:t>
      </w:r>
      <w:r>
        <w:rPr>
          <w:rFonts w:ascii="仿宋" w:hAnsi="仿宋" w:eastAsia="仿宋"/>
          <w:color w:val="auto"/>
          <w:sz w:val="30"/>
          <w:szCs w:val="30"/>
        </w:rPr>
        <w:t>科技部关于重大科研基础设施和大型科研仪器开放共享</w:t>
      </w:r>
      <w:r>
        <w:rPr>
          <w:rFonts w:hint="eastAsia" w:ascii="仿宋" w:hAnsi="仿宋" w:eastAsia="仿宋"/>
          <w:color w:val="auto"/>
          <w:sz w:val="30"/>
          <w:szCs w:val="30"/>
        </w:rPr>
        <w:t>评价考核文件精神，结合校内实践经验，围绕“</w:t>
      </w:r>
      <w:r>
        <w:rPr>
          <w:rFonts w:ascii="仿宋" w:hAnsi="仿宋" w:eastAsia="仿宋"/>
          <w:color w:val="auto"/>
          <w:sz w:val="30"/>
          <w:szCs w:val="30"/>
        </w:rPr>
        <w:t>通过技术攻关、验证评价、应用场景开发、示范推广等推进科研仪器及配套试剂、数据库等科技基础条件自主保障的工作及</w:t>
      </w:r>
      <w:r>
        <w:rPr>
          <w:rFonts w:hint="eastAsia" w:ascii="仿宋" w:hAnsi="仿宋" w:eastAsia="仿宋"/>
          <w:color w:val="auto"/>
          <w:sz w:val="30"/>
          <w:szCs w:val="30"/>
        </w:rPr>
        <w:t>成效”这一主题，</w:t>
      </w:r>
      <w:r>
        <w:rPr>
          <w:rFonts w:hint="eastAsia" w:ascii="仿宋" w:hAnsi="仿宋" w:eastAsia="仿宋"/>
          <w:color w:val="auto"/>
          <w:sz w:val="30"/>
          <w:szCs w:val="30"/>
          <w:lang w:val="en-US" w:eastAsia="zh-CN"/>
        </w:rPr>
        <w:t>开展适合校内需</w:t>
      </w:r>
      <w:r>
        <w:rPr>
          <w:rFonts w:hint="default" w:ascii="仿宋" w:hAnsi="仿宋" w:eastAsia="仿宋"/>
          <w:color w:val="auto"/>
          <w:sz w:val="30"/>
          <w:szCs w:val="30"/>
          <w:lang w:val="en-US" w:eastAsia="zh-CN"/>
        </w:rPr>
        <w:t>求的教学科研仪器设备的独立研发，或国外设备配套附件研制，获得专利授权。</w:t>
      </w:r>
    </w:p>
    <w:p w14:paraId="03BC0D23">
      <w:pPr>
        <w:spacing w:line="520" w:lineRule="exact"/>
        <w:ind w:firstLine="602" w:firstLineChars="200"/>
        <w:rPr>
          <w:rFonts w:hint="eastAsia" w:ascii="楷体" w:hAnsi="楷体" w:eastAsia="楷体" w:cs="楷体"/>
          <w:b/>
          <w:bCs/>
          <w:color w:val="auto"/>
          <w:sz w:val="30"/>
          <w:szCs w:val="30"/>
        </w:rPr>
      </w:pPr>
      <w:r>
        <w:rPr>
          <w:rFonts w:hint="eastAsia" w:ascii="楷体" w:hAnsi="楷体" w:eastAsia="楷体" w:cs="楷体"/>
          <w:b/>
          <w:bCs/>
          <w:color w:val="auto"/>
          <w:sz w:val="30"/>
          <w:szCs w:val="30"/>
          <w:lang w:val="en-US" w:eastAsia="zh-CN"/>
        </w:rPr>
        <w:t>3</w:t>
      </w:r>
      <w:r>
        <w:rPr>
          <w:rFonts w:hint="eastAsia" w:ascii="楷体" w:hAnsi="楷体" w:eastAsia="楷体" w:cs="楷体"/>
          <w:b/>
          <w:bCs/>
          <w:color w:val="auto"/>
          <w:sz w:val="30"/>
          <w:szCs w:val="30"/>
        </w:rPr>
        <w:t>.基于智能体的实验室安全智能监控与应急响应系统</w:t>
      </w:r>
    </w:p>
    <w:p w14:paraId="10AD14B2">
      <w:pPr>
        <w:pStyle w:val="2"/>
        <w:ind w:firstLine="600" w:firstLineChars="200"/>
        <w:rPr>
          <w:rFonts w:hint="eastAsia" w:ascii="仿宋" w:hAnsi="仿宋" w:eastAsia="仿宋"/>
          <w:color w:val="auto"/>
          <w:sz w:val="30"/>
          <w:szCs w:val="30"/>
        </w:rPr>
      </w:pPr>
      <w:r>
        <w:rPr>
          <w:rFonts w:hint="eastAsia" w:ascii="仿宋" w:hAnsi="仿宋" w:eastAsia="仿宋"/>
          <w:b w:val="0"/>
          <w:bCs/>
          <w:color w:val="auto"/>
          <w:sz w:val="30"/>
          <w:szCs w:val="30"/>
        </w:rPr>
        <w:t>成果要求：具</w:t>
      </w:r>
      <w:r>
        <w:rPr>
          <w:rFonts w:hint="eastAsia" w:ascii="仿宋" w:hAnsi="仿宋" w:eastAsia="仿宋"/>
          <w:color w:val="auto"/>
          <w:sz w:val="30"/>
          <w:szCs w:val="30"/>
        </w:rPr>
        <w:t>有高度可参考性的研究成果，基于学校现有实验室管理软硬件平台，开发相应系统或程序，实现①通过AI语音/图像识别监控实验室安全（如危险行为识别、化学品泄漏预警）</w:t>
      </w:r>
      <w:r>
        <w:rPr>
          <w:rFonts w:hint="eastAsia" w:ascii="仿宋" w:hAnsi="仿宋" w:eastAsia="仿宋"/>
          <w:color w:val="auto"/>
          <w:sz w:val="30"/>
          <w:szCs w:val="30"/>
          <w:lang w:eastAsia="zh-CN"/>
        </w:rPr>
        <w:t>；</w:t>
      </w:r>
      <w:r>
        <w:rPr>
          <w:rFonts w:hint="eastAsia" w:ascii="仿宋" w:hAnsi="仿宋" w:eastAsia="仿宋"/>
          <w:color w:val="auto"/>
          <w:sz w:val="30"/>
          <w:szCs w:val="30"/>
        </w:rPr>
        <w:t>②自动生成应急预案（如“硫酸泼溅如何处理？”）并联动应急设备或通知安全管理人员</w:t>
      </w:r>
      <w:r>
        <w:rPr>
          <w:rFonts w:hint="eastAsia" w:ascii="仿宋" w:hAnsi="仿宋" w:eastAsia="仿宋"/>
          <w:color w:val="auto"/>
          <w:sz w:val="30"/>
          <w:szCs w:val="30"/>
          <w:lang w:eastAsia="zh-CN"/>
        </w:rPr>
        <w:t>；</w:t>
      </w:r>
      <w:r>
        <w:rPr>
          <w:rFonts w:hint="eastAsia" w:ascii="仿宋" w:hAnsi="仿宋" w:eastAsia="仿宋"/>
          <w:color w:val="auto"/>
          <w:sz w:val="30"/>
          <w:szCs w:val="30"/>
        </w:rPr>
        <w:t>③记录违规行为并生成管理报告</w:t>
      </w:r>
      <w:r>
        <w:rPr>
          <w:rFonts w:hint="eastAsia" w:ascii="仿宋" w:hAnsi="仿宋" w:eastAsia="仿宋"/>
          <w:color w:val="auto"/>
          <w:sz w:val="30"/>
          <w:szCs w:val="30"/>
          <w:lang w:eastAsia="zh-CN"/>
        </w:rPr>
        <w:t>；</w:t>
      </w:r>
      <w:r>
        <w:rPr>
          <w:rFonts w:hint="eastAsia" w:ascii="仿宋" w:hAnsi="仿宋" w:eastAsia="仿宋"/>
          <w:color w:val="auto"/>
          <w:sz w:val="30"/>
          <w:szCs w:val="30"/>
        </w:rPr>
        <w:t>并撰写高水平研究报告或论文。</w:t>
      </w:r>
    </w:p>
    <w:p w14:paraId="5D406B07">
      <w:pPr>
        <w:spacing w:line="520" w:lineRule="exact"/>
        <w:ind w:firstLine="602" w:firstLineChars="200"/>
        <w:rPr>
          <w:rFonts w:hint="eastAsia" w:ascii="楷体" w:hAnsi="楷体" w:eastAsia="楷体" w:cs="楷体"/>
          <w:b/>
          <w:bCs/>
          <w:color w:val="auto"/>
          <w:sz w:val="30"/>
          <w:szCs w:val="30"/>
          <w:lang w:val="en-US" w:eastAsia="zh-CN"/>
        </w:rPr>
      </w:pPr>
      <w:r>
        <w:rPr>
          <w:rFonts w:hint="eastAsia" w:ascii="楷体" w:hAnsi="楷体" w:eastAsia="楷体" w:cs="楷体"/>
          <w:b/>
          <w:bCs/>
          <w:color w:val="auto"/>
          <w:sz w:val="30"/>
          <w:szCs w:val="30"/>
          <w:lang w:val="en-US" w:eastAsia="zh-CN"/>
        </w:rPr>
        <w:t>4.“多维融合”视角下实验室安全文化内涵建设路径探索</w:t>
      </w:r>
    </w:p>
    <w:p w14:paraId="362E26F9">
      <w:pPr>
        <w:pStyle w:val="2"/>
        <w:ind w:firstLine="600" w:firstLineChars="200"/>
        <w:rPr>
          <w:rFonts w:hint="default" w:ascii="仿宋" w:hAnsi="仿宋" w:eastAsia="仿宋"/>
          <w:color w:val="auto"/>
          <w:sz w:val="30"/>
          <w:szCs w:val="30"/>
          <w:highlight w:val="yellow"/>
          <w:lang w:val="en-US" w:eastAsia="zh-CN"/>
        </w:rPr>
      </w:pPr>
      <w:r>
        <w:rPr>
          <w:rFonts w:hint="eastAsia" w:ascii="仿宋" w:hAnsi="仿宋" w:eastAsia="仿宋"/>
          <w:color w:val="auto"/>
          <w:sz w:val="30"/>
          <w:szCs w:val="30"/>
          <w:lang w:val="en-US" w:eastAsia="zh-CN"/>
        </w:rPr>
        <w:t>成果要求：针对学校实验室安全文化建设现状，聚焦实验室安全文化内涵建设，通过打造多渠道实验室安全宣传矩阵、强化“实验室安全月”品牌效应、推进实验室安全课程体系建设等路径，形成可推广的建设方案，并撰写高水平研究论文。</w:t>
      </w:r>
    </w:p>
    <w:p w14:paraId="22D642D0">
      <w:pPr>
        <w:ind w:firstLine="602" w:firstLineChars="200"/>
        <w:rPr>
          <w:rFonts w:hint="eastAsia" w:ascii="黑体" w:hAnsi="黑体" w:eastAsia="黑体" w:cs="黑体"/>
          <w:b/>
          <w:bCs/>
          <w:color w:val="auto"/>
          <w:sz w:val="30"/>
          <w:szCs w:val="30"/>
        </w:rPr>
      </w:pPr>
      <w:r>
        <w:rPr>
          <w:rFonts w:hint="eastAsia" w:ascii="黑体" w:hAnsi="黑体" w:eastAsia="黑体" w:cs="黑体"/>
          <w:b/>
          <w:bCs/>
          <w:color w:val="auto"/>
          <w:sz w:val="30"/>
          <w:szCs w:val="30"/>
        </w:rPr>
        <w:t>二、重点B档（资助金额</w:t>
      </w:r>
      <w:r>
        <w:rPr>
          <w:rFonts w:hint="eastAsia" w:ascii="黑体" w:hAnsi="黑体" w:eastAsia="黑体" w:cs="黑体"/>
          <w:b/>
          <w:bCs/>
          <w:color w:val="auto"/>
          <w:sz w:val="30"/>
          <w:szCs w:val="30"/>
          <w:lang w:val="en-US" w:eastAsia="zh-CN"/>
        </w:rPr>
        <w:t>不超过</w:t>
      </w:r>
      <w:r>
        <w:rPr>
          <w:rFonts w:hint="eastAsia" w:ascii="黑体" w:hAnsi="黑体" w:eastAsia="黑体" w:cs="黑体"/>
          <w:b/>
          <w:bCs/>
          <w:color w:val="auto"/>
          <w:sz w:val="30"/>
          <w:szCs w:val="30"/>
        </w:rPr>
        <w:t>3万元）</w:t>
      </w:r>
    </w:p>
    <w:p w14:paraId="1CFB7F7E">
      <w:pPr>
        <w:spacing w:line="520" w:lineRule="exact"/>
        <w:ind w:firstLine="602" w:firstLineChars="200"/>
        <w:rPr>
          <w:rFonts w:hint="eastAsia" w:ascii="楷体" w:hAnsi="楷体" w:eastAsia="楷体" w:cs="楷体"/>
          <w:b/>
          <w:bCs/>
          <w:color w:val="auto"/>
          <w:sz w:val="30"/>
          <w:szCs w:val="30"/>
        </w:rPr>
      </w:pPr>
      <w:r>
        <w:rPr>
          <w:rFonts w:hint="eastAsia" w:ascii="楷体" w:hAnsi="楷体" w:eastAsia="楷体" w:cs="楷体"/>
          <w:b/>
          <w:bCs/>
          <w:color w:val="auto"/>
          <w:sz w:val="30"/>
          <w:szCs w:val="30"/>
        </w:rPr>
        <w:t>1.关于教学实验室规范化建设与运行机制创新研究</w:t>
      </w:r>
    </w:p>
    <w:p w14:paraId="3B6BAAE9">
      <w:pPr>
        <w:spacing w:line="360" w:lineRule="auto"/>
        <w:ind w:firstLine="600" w:firstLineChars="200"/>
        <w:rPr>
          <w:rFonts w:ascii="仿宋" w:hAnsi="仿宋" w:eastAsia="仿宋"/>
          <w:color w:val="auto"/>
          <w:sz w:val="30"/>
          <w:szCs w:val="30"/>
        </w:rPr>
      </w:pPr>
      <w:r>
        <w:rPr>
          <w:rFonts w:hint="eastAsia" w:ascii="仿宋" w:hAnsi="仿宋" w:eastAsia="仿宋"/>
          <w:color w:val="auto"/>
          <w:sz w:val="30"/>
          <w:szCs w:val="30"/>
        </w:rPr>
        <w:t>成果要求：完成学校教学实验室现状调研与需求分析报告1份；以相关专业教学实验室为样例，形成“基础-专业-创新”多层次的教学实验室体系架构，包含建设标准、命名规范、资产配置、课程安排、</w:t>
      </w:r>
      <w:r>
        <w:rPr>
          <w:rFonts w:hint="eastAsia" w:ascii="仿宋" w:hAnsi="仿宋" w:eastAsia="仿宋"/>
          <w:color w:val="auto"/>
          <w:sz w:val="30"/>
          <w:szCs w:val="30"/>
          <w:lang w:val="en-US" w:eastAsia="zh-CN"/>
        </w:rPr>
        <w:t>队伍建设</w:t>
      </w:r>
      <w:r>
        <w:rPr>
          <w:rFonts w:hint="eastAsia" w:ascii="仿宋" w:hAnsi="仿宋" w:eastAsia="仿宋"/>
          <w:color w:val="auto"/>
          <w:sz w:val="30"/>
          <w:szCs w:val="30"/>
        </w:rPr>
        <w:t>等内容；形成可复制推广的实施方案与绩效评价指标体系，切实提升实验教学对人才培养的支撑能力。</w:t>
      </w:r>
    </w:p>
    <w:p w14:paraId="6C6A8AC5">
      <w:pPr>
        <w:spacing w:line="520" w:lineRule="exact"/>
        <w:ind w:firstLine="602" w:firstLineChars="200"/>
        <w:rPr>
          <w:rFonts w:hint="eastAsia" w:ascii="楷体" w:hAnsi="楷体" w:eastAsia="楷体" w:cs="楷体"/>
          <w:b/>
          <w:bCs/>
          <w:color w:val="auto"/>
          <w:sz w:val="30"/>
          <w:szCs w:val="30"/>
        </w:rPr>
      </w:pPr>
      <w:r>
        <w:rPr>
          <w:rFonts w:hint="eastAsia" w:ascii="楷体" w:hAnsi="楷体" w:eastAsia="楷体" w:cs="楷体"/>
          <w:b/>
          <w:bCs/>
          <w:color w:val="auto"/>
          <w:sz w:val="30"/>
          <w:szCs w:val="30"/>
        </w:rPr>
        <w:t>2.提升科研仪器管理人员操作技能/水平的激励机制研究</w:t>
      </w:r>
    </w:p>
    <w:p w14:paraId="480E6CA3">
      <w:pPr>
        <w:pStyle w:val="2"/>
        <w:ind w:firstLine="600" w:firstLineChars="200"/>
        <w:rPr>
          <w:rFonts w:hint="eastAsia"/>
          <w:color w:val="auto"/>
        </w:rPr>
      </w:pPr>
      <w:r>
        <w:rPr>
          <w:rFonts w:hint="eastAsia" w:ascii="仿宋" w:hAnsi="仿宋" w:eastAsia="仿宋"/>
          <w:b w:val="0"/>
          <w:bCs/>
          <w:color w:val="auto"/>
          <w:sz w:val="30"/>
          <w:szCs w:val="30"/>
        </w:rPr>
        <w:t>成果要求：具</w:t>
      </w:r>
      <w:r>
        <w:rPr>
          <w:rFonts w:hint="eastAsia" w:ascii="仿宋" w:hAnsi="仿宋" w:eastAsia="仿宋"/>
          <w:color w:val="auto"/>
          <w:sz w:val="30"/>
          <w:szCs w:val="30"/>
        </w:rPr>
        <w:t>有高度可参考性的调研成果，形成目标明确、路径可行的科研仪器管理人员队伍建设规划、能力提升实施方案、队伍考核评价办法和激励措施等文件，并撰写高水平研究报告或论文。</w:t>
      </w:r>
    </w:p>
    <w:p w14:paraId="1A35CB39">
      <w:pPr>
        <w:spacing w:line="520" w:lineRule="exact"/>
        <w:ind w:firstLine="602" w:firstLineChars="200"/>
        <w:rPr>
          <w:rFonts w:hint="eastAsia" w:ascii="楷体" w:hAnsi="楷体" w:eastAsia="楷体" w:cs="楷体"/>
          <w:b/>
          <w:bCs/>
          <w:color w:val="auto"/>
          <w:sz w:val="30"/>
          <w:szCs w:val="30"/>
        </w:rPr>
      </w:pPr>
      <w:r>
        <w:rPr>
          <w:rFonts w:hint="eastAsia" w:ascii="楷体" w:hAnsi="楷体" w:eastAsia="楷体" w:cs="楷体"/>
          <w:b/>
          <w:bCs/>
          <w:color w:val="auto"/>
          <w:sz w:val="30"/>
          <w:szCs w:val="30"/>
        </w:rPr>
        <w:t>3.关于虚拟仿真教学创新实验室体系化建设的实施路径研究</w:t>
      </w:r>
    </w:p>
    <w:p w14:paraId="57A83A0F">
      <w:pPr>
        <w:spacing w:line="360" w:lineRule="auto"/>
        <w:ind w:firstLine="600" w:firstLineChars="200"/>
        <w:rPr>
          <w:rFonts w:hint="eastAsia" w:ascii="仿宋" w:hAnsi="仿宋" w:eastAsia="仿宋"/>
          <w:b/>
          <w:color w:val="auto"/>
          <w:sz w:val="30"/>
          <w:szCs w:val="30"/>
        </w:rPr>
      </w:pPr>
      <w:r>
        <w:rPr>
          <w:rFonts w:hint="eastAsia" w:ascii="仿宋" w:hAnsi="仿宋" w:eastAsia="仿宋"/>
          <w:color w:val="auto"/>
          <w:sz w:val="30"/>
          <w:szCs w:val="30"/>
        </w:rPr>
        <w:t>成果要求：围绕教育部关于高等学校虚拟仿真教学创新实验室体系化建设的要求，结合实验室具体情况，聚焦人才培养与社会发展需求</w:t>
      </w:r>
      <w:r>
        <w:rPr>
          <w:rFonts w:hint="eastAsia" w:ascii="仿宋" w:hAnsi="仿宋" w:eastAsia="仿宋"/>
          <w:color w:val="auto"/>
          <w:sz w:val="30"/>
          <w:szCs w:val="30"/>
          <w:highlight w:val="none"/>
        </w:rPr>
        <w:t>，</w:t>
      </w:r>
      <w:r>
        <w:rPr>
          <w:rFonts w:hint="eastAsia" w:ascii="仿宋" w:hAnsi="仿宋" w:eastAsia="仿宋"/>
          <w:color w:val="auto"/>
          <w:sz w:val="30"/>
          <w:szCs w:val="30"/>
          <w:highlight w:val="none"/>
          <w:lang w:val="en-US" w:eastAsia="zh-CN"/>
        </w:rPr>
        <w:t>锚定未来5年发展目标，</w:t>
      </w:r>
      <w:r>
        <w:rPr>
          <w:rFonts w:hint="eastAsia" w:ascii="仿宋" w:hAnsi="仿宋" w:eastAsia="仿宋"/>
          <w:color w:val="auto"/>
          <w:sz w:val="30"/>
          <w:szCs w:val="30"/>
          <w:highlight w:val="none"/>
        </w:rPr>
        <w:t>形</w:t>
      </w:r>
      <w:r>
        <w:rPr>
          <w:rFonts w:hint="eastAsia" w:ascii="仿宋" w:hAnsi="仿宋" w:eastAsia="仿宋"/>
          <w:color w:val="auto"/>
          <w:sz w:val="30"/>
          <w:szCs w:val="30"/>
        </w:rPr>
        <w:t>成实践性强、可复制可推广的虚拟仿真实验室建设顶层设计和建设方案，形成高水平调研报告或研究成果。</w:t>
      </w:r>
    </w:p>
    <w:p w14:paraId="32A2565E">
      <w:pPr>
        <w:spacing w:line="520" w:lineRule="exact"/>
        <w:ind w:firstLine="602" w:firstLineChars="200"/>
        <w:rPr>
          <w:rFonts w:hint="default" w:ascii="楷体" w:hAnsi="楷体" w:eastAsia="楷体" w:cs="楷体"/>
          <w:b/>
          <w:bCs/>
          <w:color w:val="auto"/>
          <w:sz w:val="30"/>
          <w:szCs w:val="30"/>
          <w:lang w:val="en-US" w:eastAsia="zh-CN"/>
        </w:rPr>
      </w:pPr>
      <w:r>
        <w:rPr>
          <w:rFonts w:hint="eastAsia" w:ascii="楷体" w:hAnsi="楷体" w:eastAsia="楷体" w:cs="楷体"/>
          <w:b/>
          <w:bCs/>
          <w:color w:val="auto"/>
          <w:sz w:val="30"/>
          <w:szCs w:val="30"/>
          <w:lang w:val="en-US" w:eastAsia="zh-CN"/>
        </w:rPr>
        <w:t xml:space="preserve"> 4.报废大型仪器拆解重组与教学再利用机制研究</w:t>
      </w:r>
    </w:p>
    <w:p w14:paraId="0469547A">
      <w:pPr>
        <w:spacing w:line="360" w:lineRule="auto"/>
        <w:ind w:firstLine="600" w:firstLineChars="200"/>
        <w:rPr>
          <w:rFonts w:hint="default" w:ascii="仿宋" w:hAnsi="仿宋" w:eastAsia="仿宋"/>
          <w:color w:val="auto"/>
          <w:sz w:val="30"/>
          <w:szCs w:val="30"/>
          <w:highlight w:val="yellow"/>
          <w:lang w:val="en-US" w:eastAsia="zh-CN"/>
        </w:rPr>
      </w:pPr>
      <w:r>
        <w:rPr>
          <w:rFonts w:hint="eastAsia" w:ascii="仿宋" w:hAnsi="仿宋" w:eastAsia="仿宋"/>
          <w:color w:val="auto"/>
          <w:sz w:val="30"/>
          <w:szCs w:val="30"/>
          <w:lang w:val="en-US" w:eastAsia="zh-CN"/>
        </w:rPr>
        <w:t>成果要求：研究可围绕</w:t>
      </w:r>
      <w:r>
        <w:rPr>
          <w:rFonts w:hint="default" w:ascii="仿宋" w:hAnsi="仿宋" w:eastAsia="仿宋"/>
          <w:color w:val="auto"/>
          <w:sz w:val="30"/>
          <w:szCs w:val="30"/>
          <w:lang w:val="en-US" w:eastAsia="zh-CN"/>
        </w:rPr>
        <w:t>建立标准化拆解流程</w:t>
      </w:r>
      <w:r>
        <w:rPr>
          <w:rFonts w:hint="eastAsia" w:ascii="仿宋" w:hAnsi="仿宋" w:eastAsia="仿宋"/>
          <w:color w:val="auto"/>
          <w:sz w:val="30"/>
          <w:szCs w:val="30"/>
          <w:lang w:val="en-US" w:eastAsia="zh-CN"/>
        </w:rPr>
        <w:t>、</w:t>
      </w:r>
      <w:r>
        <w:rPr>
          <w:rFonts w:hint="default" w:ascii="仿宋" w:hAnsi="仿宋" w:eastAsia="仿宋"/>
          <w:color w:val="auto"/>
          <w:sz w:val="30"/>
          <w:szCs w:val="30"/>
          <w:lang w:val="en-US" w:eastAsia="zh-CN"/>
        </w:rPr>
        <w:t>模块重组与平台研制</w:t>
      </w:r>
      <w:r>
        <w:rPr>
          <w:rFonts w:hint="eastAsia" w:ascii="仿宋" w:hAnsi="仿宋" w:eastAsia="仿宋"/>
          <w:color w:val="auto"/>
          <w:sz w:val="30"/>
          <w:szCs w:val="30"/>
          <w:lang w:val="en-US" w:eastAsia="zh-CN"/>
        </w:rPr>
        <w:t>、</w:t>
      </w:r>
      <w:r>
        <w:rPr>
          <w:rFonts w:hint="default" w:ascii="仿宋" w:hAnsi="仿宋" w:eastAsia="仿宋"/>
          <w:color w:val="auto"/>
          <w:sz w:val="30"/>
          <w:szCs w:val="30"/>
          <w:lang w:val="en-US" w:eastAsia="zh-CN"/>
        </w:rPr>
        <w:t>转化机制与标准构建探索</w:t>
      </w:r>
      <w:r>
        <w:rPr>
          <w:rFonts w:hint="eastAsia" w:ascii="仿宋" w:hAnsi="仿宋" w:eastAsia="仿宋"/>
          <w:color w:val="auto"/>
          <w:sz w:val="30"/>
          <w:szCs w:val="30"/>
          <w:lang w:val="en-US" w:eastAsia="zh-CN"/>
        </w:rPr>
        <w:t>等主题，</w:t>
      </w:r>
      <w:r>
        <w:rPr>
          <w:rFonts w:hint="default" w:ascii="仿宋" w:hAnsi="仿宋" w:eastAsia="仿宋"/>
          <w:color w:val="auto"/>
          <w:sz w:val="30"/>
          <w:szCs w:val="30"/>
        </w:rPr>
        <w:t>对关键部件进行二次开发与功能升级，研制低成本、可定制的自制实验仪器与实训平台</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探索</w:t>
      </w:r>
      <w:r>
        <w:rPr>
          <w:rFonts w:hint="default" w:ascii="仿宋" w:hAnsi="仿宋" w:eastAsia="仿宋"/>
          <w:color w:val="auto"/>
          <w:sz w:val="30"/>
          <w:szCs w:val="30"/>
        </w:rPr>
        <w:t>将核心组件转化为直观教学资源</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探索</w:t>
      </w:r>
      <w:r>
        <w:rPr>
          <w:rFonts w:hint="default" w:ascii="仿宋" w:hAnsi="仿宋" w:eastAsia="仿宋"/>
          <w:color w:val="auto"/>
          <w:sz w:val="30"/>
          <w:szCs w:val="30"/>
        </w:rPr>
        <w:t>“资产</w:t>
      </w:r>
      <w:r>
        <w:rPr>
          <w:rFonts w:hint="eastAsia" w:ascii="仿宋" w:hAnsi="仿宋" w:eastAsia="仿宋"/>
          <w:color w:val="auto"/>
          <w:sz w:val="30"/>
          <w:szCs w:val="30"/>
          <w:lang w:val="en-US" w:eastAsia="zh-CN"/>
        </w:rPr>
        <w:t>报废</w:t>
      </w:r>
      <w:r>
        <w:rPr>
          <w:rFonts w:hint="default" w:ascii="仿宋" w:hAnsi="仿宋" w:eastAsia="仿宋"/>
          <w:color w:val="auto"/>
          <w:sz w:val="30"/>
          <w:szCs w:val="30"/>
        </w:rPr>
        <w:t>”到“教学准入”的评估标准、安全规范及长效运行模式</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通过“报废</w:t>
      </w:r>
      <w:r>
        <w:rPr>
          <w:rFonts w:hint="default" w:ascii="仿宋" w:hAnsi="仿宋" w:eastAsia="仿宋"/>
          <w:color w:val="auto"/>
          <w:sz w:val="30"/>
          <w:szCs w:val="30"/>
        </w:rPr>
        <w:t>—重构—赋能”闭环，实现资产绿色循环与价值重塑</w:t>
      </w: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形成有推广性</w:t>
      </w:r>
      <w:bookmarkStart w:id="4" w:name="_GoBack"/>
      <w:bookmarkEnd w:id="4"/>
      <w:r>
        <w:rPr>
          <w:rFonts w:hint="eastAsia" w:ascii="仿宋" w:hAnsi="仿宋" w:eastAsia="仿宋"/>
          <w:color w:val="auto"/>
          <w:sz w:val="30"/>
          <w:szCs w:val="30"/>
          <w:lang w:val="en-US" w:eastAsia="zh-CN"/>
        </w:rPr>
        <w:t>、可落地的研究成果与标准机制。</w:t>
      </w:r>
    </w:p>
    <w:p w14:paraId="4658EC77">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B12A50-F994-4B1D-93F1-D3769C72C305}"/>
  </w:font>
  <w:font w:name="黑体">
    <w:panose1 w:val="02010609060101010101"/>
    <w:charset w:val="86"/>
    <w:family w:val="auto"/>
    <w:pitch w:val="default"/>
    <w:sig w:usb0="800002BF" w:usb1="38CF7CFA" w:usb2="00000016" w:usb3="00000000" w:csb0="00040001" w:csb1="00000000"/>
    <w:embedRegular r:id="rId2" w:fontKey="{A1959B0D-3720-4EB6-B4CB-0913A8658E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3" w:fontKey="{A4CC88C6-7579-4D07-96A1-9108033AC208}"/>
  </w:font>
  <w:font w:name="仿宋">
    <w:panose1 w:val="02010609060101010101"/>
    <w:charset w:val="86"/>
    <w:family w:val="modern"/>
    <w:pitch w:val="default"/>
    <w:sig w:usb0="800002BF" w:usb1="38CF7CFA" w:usb2="00000016" w:usb3="00000000" w:csb0="00040001" w:csb1="00000000"/>
    <w:embedRegular r:id="rId4" w:fontKey="{846E0EE0-241D-4F54-A667-B91A9A3D18A7}"/>
  </w:font>
  <w:font w:name="等线">
    <w:panose1 w:val="02010600030101010101"/>
    <w:charset w:val="86"/>
    <w:family w:val="auto"/>
    <w:pitch w:val="default"/>
    <w:sig w:usb0="A00002BF" w:usb1="38CF7CFA" w:usb2="00000016" w:usb3="00000000" w:csb0="0004000F" w:csb1="00000000"/>
    <w:embedRegular r:id="rId5" w:fontKey="{137B492E-4D78-4228-AA72-F8CE5DF459DB}"/>
  </w:font>
  <w:font w:name="方正小标宋简体">
    <w:panose1 w:val="02000000000000000000"/>
    <w:charset w:val="86"/>
    <w:family w:val="script"/>
    <w:pitch w:val="default"/>
    <w:sig w:usb0="00000001" w:usb1="08000000" w:usb2="00000000" w:usb3="00000000" w:csb0="00040000" w:csb1="00000000"/>
    <w:embedRegular r:id="rId6" w:fontKey="{C31C7C35-7987-4A85-B1F7-7FF954807B6B}"/>
  </w:font>
  <w:font w:name="方正小标宋_GBK">
    <w:altName w:val="微软雅黑"/>
    <w:panose1 w:val="00000000000000000000"/>
    <w:charset w:val="86"/>
    <w:family w:val="script"/>
    <w:pitch w:val="default"/>
    <w:sig w:usb0="00000000" w:usb1="00000000" w:usb2="00000000" w:usb3="00000000" w:csb0="00040000" w:csb1="00000000"/>
    <w:embedRegular r:id="rId7" w:fontKey="{8E9E55A2-8EE9-4B77-A3C8-A6D81735B094}"/>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8235D1FC">
    <w:panose1 w:val="020B07030202040202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embedRegular r:id="rId8" w:fontKey="{53D7B892-1EE6-4D4F-A5F3-3D1A9823C5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9770980"/>
    </w:sdtPr>
    <w:sdtContent>
      <w:p w14:paraId="7E29FB49">
        <w:pPr>
          <w:pStyle w:val="4"/>
          <w:jc w:val="center"/>
        </w:pPr>
        <w:r>
          <w:fldChar w:fldCharType="begin"/>
        </w:r>
        <w:r>
          <w:instrText xml:space="preserve">PAGE   \* MERGEFORMAT</w:instrText>
        </w:r>
        <w:r>
          <w:fldChar w:fldCharType="separate"/>
        </w:r>
        <w:r>
          <w:rPr>
            <w:lang w:val="zh-CN"/>
          </w:rPr>
          <w:t>12</w:t>
        </w:r>
        <w:r>
          <w:fldChar w:fldCharType="end"/>
        </w:r>
      </w:p>
    </w:sdtContent>
  </w:sdt>
  <w:p w14:paraId="2FB1C1F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5C6FE3"/>
    <w:multiLevelType w:val="multilevel"/>
    <w:tmpl w:val="3F5C6FE3"/>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3C41BF"/>
    <w:rsid w:val="0002480F"/>
    <w:rsid w:val="03C53D64"/>
    <w:rsid w:val="052C383F"/>
    <w:rsid w:val="08ED6D11"/>
    <w:rsid w:val="0B1915F1"/>
    <w:rsid w:val="0CED693B"/>
    <w:rsid w:val="0D8942C1"/>
    <w:rsid w:val="0DAE46EF"/>
    <w:rsid w:val="0E1E6C85"/>
    <w:rsid w:val="160E21CF"/>
    <w:rsid w:val="19897784"/>
    <w:rsid w:val="1BFB4FA4"/>
    <w:rsid w:val="1DC2393D"/>
    <w:rsid w:val="1FE47C93"/>
    <w:rsid w:val="2000682A"/>
    <w:rsid w:val="23A61C99"/>
    <w:rsid w:val="2C1B65CB"/>
    <w:rsid w:val="334A1071"/>
    <w:rsid w:val="3CBB2FB6"/>
    <w:rsid w:val="3D2633A6"/>
    <w:rsid w:val="3FB63428"/>
    <w:rsid w:val="4104216B"/>
    <w:rsid w:val="448425FA"/>
    <w:rsid w:val="45AC5A5D"/>
    <w:rsid w:val="47705F96"/>
    <w:rsid w:val="563665FD"/>
    <w:rsid w:val="5753390A"/>
    <w:rsid w:val="5B0B0058"/>
    <w:rsid w:val="5BCA18A8"/>
    <w:rsid w:val="5DAF116F"/>
    <w:rsid w:val="639C4875"/>
    <w:rsid w:val="6543389A"/>
    <w:rsid w:val="66854BCD"/>
    <w:rsid w:val="67977C54"/>
    <w:rsid w:val="693C41BF"/>
    <w:rsid w:val="69434E61"/>
    <w:rsid w:val="6AB73D95"/>
    <w:rsid w:val="6F800F2B"/>
    <w:rsid w:val="77AE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qFormat/>
    <w:uiPriority w:val="0"/>
    <w:pPr>
      <w:jc w:val="left"/>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1482</Words>
  <Characters>1494</Characters>
  <Lines>0</Lines>
  <Paragraphs>0</Paragraphs>
  <TotalTime>34</TotalTime>
  <ScaleCrop>false</ScaleCrop>
  <LinksUpToDate>false</LinksUpToDate>
  <CharactersWithSpaces>1499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2026-01-26T01:46:00Z</dcterms:created>
  <dc:creator>Dongzhao</dc:creator>
  <cp:lastModifiedBy>Dongzhao</cp:lastModifiedBy>
  <dcterms:modified xsi:type="dcterms:W3CDTF">2026-05-22T01:03:20Z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A2F04A4F0D2245D1AAC0F93A31C1A368_13</vt:lpwstr>
  </property>
  <property fmtid="{D5CDD505-2E9C-101B-9397-08002B2CF9AE}" pid="4" name="KSOTemplateDocerSaveRecord">
    <vt:lpwstr>eyJoZGlkIjoiNzZmN2E2YjBmMzZjMDdhMTQ0ZTExYWUyZTRhZmFiYjEiLCJ1c2VySWQiOiIzOTU5Njc0MDkifQ==</vt:lpwstr>
  </property>
</Properties>
</file>